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dxa"/>
        <w:tblLook w:val="01E0" w:firstRow="1" w:lastRow="1" w:firstColumn="1" w:lastColumn="1" w:noHBand="0" w:noVBand="0"/>
      </w:tblPr>
      <w:tblGrid>
        <w:gridCol w:w="4786"/>
      </w:tblGrid>
      <w:tr w:rsidR="00430D90" w:rsidTr="00430D90">
        <w:tc>
          <w:tcPr>
            <w:tcW w:w="4786" w:type="dxa"/>
            <w:hideMark/>
          </w:tcPr>
          <w:p w:rsidR="00430D90" w:rsidRDefault="00430D90">
            <w:pPr>
              <w:tabs>
                <w:tab w:val="left" w:pos="1418"/>
                <w:tab w:val="center" w:pos="5670"/>
                <w:tab w:val="center" w:pos="6663"/>
              </w:tabs>
              <w:spacing w:after="0" w:line="240" w:lineRule="auto"/>
              <w:rPr>
                <w:rFonts w:ascii="Times New Roman" w:hAnsi="Times New Roman"/>
                <w:b/>
                <w:color w:val="FF0000"/>
                <w:sz w:val="24"/>
                <w:szCs w:val="24"/>
                <w:lang w:val="sr-Cyrl-CS"/>
              </w:rPr>
            </w:pPr>
            <w:bookmarkStart w:id="0" w:name="_GoBack"/>
            <w:bookmarkEnd w:id="0"/>
            <w:r>
              <w:rPr>
                <w:rFonts w:ascii="Times New Roman" w:hAnsi="Times New Roman"/>
                <w:color w:val="FF0000"/>
                <w:spacing w:val="6"/>
                <w:sz w:val="24"/>
                <w:szCs w:val="24"/>
              </w:rPr>
              <w:t xml:space="preserve">   </w:t>
            </w:r>
            <w:r>
              <w:rPr>
                <w:noProof/>
                <w:lang w:val="en-GB" w:eastAsia="en-GB"/>
              </w:rPr>
              <w:drawing>
                <wp:anchor distT="0" distB="0" distL="114300" distR="114300" simplePos="0" relativeHeight="251659264" behindDoc="0" locked="0" layoutInCell="1" allowOverlap="1">
                  <wp:simplePos x="0" y="0"/>
                  <wp:positionH relativeFrom="column">
                    <wp:posOffset>1044575</wp:posOffset>
                  </wp:positionH>
                  <wp:positionV relativeFrom="paragraph">
                    <wp:posOffset>-88900</wp:posOffset>
                  </wp:positionV>
                  <wp:extent cx="662940" cy="987425"/>
                  <wp:effectExtent l="0" t="0" r="3810" b="3175"/>
                  <wp:wrapSquare wrapText="bothSides"/>
                  <wp:docPr id="1" name="Picture 1" descr="Description: 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osenc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987425"/>
                          </a:xfrm>
                          <a:prstGeom prst="rect">
                            <a:avLst/>
                          </a:prstGeom>
                          <a:noFill/>
                        </pic:spPr>
                      </pic:pic>
                    </a:graphicData>
                  </a:graphic>
                  <wp14:sizeRelH relativeFrom="page">
                    <wp14:pctWidth>0</wp14:pctWidth>
                  </wp14:sizeRelH>
                  <wp14:sizeRelV relativeFrom="page">
                    <wp14:pctHeight>0</wp14:pctHeight>
                  </wp14:sizeRelV>
                </wp:anchor>
              </w:drawing>
            </w:r>
          </w:p>
        </w:tc>
      </w:tr>
      <w:tr w:rsidR="00430D90" w:rsidTr="00430D90">
        <w:trPr>
          <w:trHeight w:val="323"/>
        </w:trPr>
        <w:tc>
          <w:tcPr>
            <w:tcW w:w="4786" w:type="dxa"/>
          </w:tcPr>
          <w:p w:rsidR="00430D90" w:rsidRDefault="00430D90">
            <w:pPr>
              <w:tabs>
                <w:tab w:val="left" w:pos="1418"/>
                <w:tab w:val="center" w:pos="5670"/>
                <w:tab w:val="center" w:pos="6663"/>
              </w:tabs>
              <w:spacing w:after="0" w:line="240" w:lineRule="auto"/>
              <w:jc w:val="center"/>
              <w:rPr>
                <w:rFonts w:ascii="Times New Roman" w:hAnsi="Times New Roman"/>
                <w:sz w:val="24"/>
                <w:szCs w:val="24"/>
                <w:lang w:val="sr-Cyrl-CS"/>
              </w:rPr>
            </w:pPr>
            <w:r>
              <w:rPr>
                <w:rFonts w:ascii="Times New Roman" w:hAnsi="Times New Roman"/>
                <w:sz w:val="24"/>
                <w:szCs w:val="24"/>
                <w:lang w:val="sr-Latn-RS"/>
              </w:rPr>
              <w:t xml:space="preserve"> </w:t>
            </w:r>
            <w:r>
              <w:rPr>
                <w:rFonts w:ascii="Times New Roman" w:hAnsi="Times New Roman"/>
                <w:sz w:val="24"/>
                <w:szCs w:val="24"/>
                <w:lang w:val="sr-Cyrl-CS"/>
              </w:rPr>
              <w:t>РЕПУБЛИКА СРБИЈА</w:t>
            </w:r>
          </w:p>
          <w:p w:rsidR="00430D90" w:rsidRDefault="00430D90">
            <w:pPr>
              <w:spacing w:after="0" w:line="240" w:lineRule="auto"/>
              <w:jc w:val="center"/>
              <w:rPr>
                <w:rFonts w:ascii="Times New Roman" w:hAnsi="Times New Roman"/>
                <w:sz w:val="24"/>
                <w:szCs w:val="24"/>
                <w:lang w:val="sr-Cyrl-CS"/>
              </w:rPr>
            </w:pPr>
            <w:r>
              <w:rPr>
                <w:rFonts w:ascii="Times New Roman" w:hAnsi="Times New Roman"/>
                <w:sz w:val="24"/>
                <w:szCs w:val="24"/>
                <w:lang w:val="sr-Latn-RS"/>
              </w:rPr>
              <w:t xml:space="preserve">  </w:t>
            </w:r>
            <w:r>
              <w:rPr>
                <w:rFonts w:ascii="Times New Roman" w:hAnsi="Times New Roman"/>
                <w:sz w:val="24"/>
                <w:szCs w:val="24"/>
                <w:lang w:val="sr-Cyrl-CS"/>
              </w:rPr>
              <w:t>Министарство омладине и спорта</w:t>
            </w:r>
          </w:p>
          <w:p w:rsidR="00430D90" w:rsidRDefault="00430D90">
            <w:pPr>
              <w:tabs>
                <w:tab w:val="left" w:pos="0"/>
                <w:tab w:val="left" w:pos="720"/>
                <w:tab w:val="left" w:pos="1418"/>
                <w:tab w:val="center" w:pos="5670"/>
                <w:tab w:val="center" w:pos="6663"/>
              </w:tabs>
              <w:spacing w:after="0" w:line="240" w:lineRule="auto"/>
              <w:jc w:val="center"/>
              <w:rPr>
                <w:rFonts w:ascii="Times New Roman" w:hAnsi="Times New Roman"/>
                <w:sz w:val="24"/>
                <w:szCs w:val="24"/>
              </w:rPr>
            </w:pPr>
            <w:r>
              <w:rPr>
                <w:rFonts w:ascii="Times New Roman" w:hAnsi="Times New Roman"/>
                <w:sz w:val="24"/>
                <w:szCs w:val="24"/>
                <w:lang w:val="sr-Latn-RS"/>
              </w:rPr>
              <w:t xml:space="preserve"> </w:t>
            </w:r>
            <w:r>
              <w:rPr>
                <w:rFonts w:ascii="Times New Roman" w:hAnsi="Times New Roman"/>
                <w:sz w:val="24"/>
                <w:szCs w:val="24"/>
                <w:lang w:val="sr-Cyrl-CS"/>
              </w:rPr>
              <w:t xml:space="preserve">Број: </w:t>
            </w:r>
            <w:r w:rsidRPr="006B2AD0">
              <w:rPr>
                <w:rFonts w:ascii="Times New Roman" w:hAnsi="Times New Roman"/>
                <w:sz w:val="24"/>
                <w:szCs w:val="24"/>
                <w:lang w:val="sr-Cyrl-RS"/>
              </w:rPr>
              <w:t>404-02-</w:t>
            </w:r>
            <w:r>
              <w:rPr>
                <w:rFonts w:ascii="Times New Roman" w:hAnsi="Times New Roman"/>
                <w:sz w:val="24"/>
                <w:szCs w:val="24"/>
              </w:rPr>
              <w:t>49</w:t>
            </w:r>
            <w:r>
              <w:rPr>
                <w:rFonts w:ascii="Times New Roman" w:hAnsi="Times New Roman"/>
                <w:sz w:val="24"/>
                <w:szCs w:val="24"/>
                <w:lang w:val="sr-Cyrl-RS"/>
              </w:rPr>
              <w:t>/</w:t>
            </w:r>
            <w:r w:rsidRPr="006B2AD0">
              <w:rPr>
                <w:rFonts w:ascii="Times New Roman" w:hAnsi="Times New Roman"/>
                <w:sz w:val="24"/>
                <w:szCs w:val="24"/>
                <w:lang w:val="sr-Cyrl-RS"/>
              </w:rPr>
              <w:t>201</w:t>
            </w:r>
            <w:r>
              <w:rPr>
                <w:rFonts w:ascii="Times New Roman" w:hAnsi="Times New Roman"/>
                <w:sz w:val="24"/>
                <w:szCs w:val="24"/>
              </w:rPr>
              <w:t>8</w:t>
            </w:r>
            <w:r w:rsidRPr="006B2AD0">
              <w:rPr>
                <w:rFonts w:ascii="Times New Roman" w:hAnsi="Times New Roman"/>
                <w:sz w:val="24"/>
                <w:szCs w:val="24"/>
                <w:lang w:val="sr-Cyrl-RS"/>
              </w:rPr>
              <w:t>-08</w:t>
            </w:r>
          </w:p>
          <w:p w:rsidR="00430D90" w:rsidRDefault="00430D90">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Датум:</w:t>
            </w:r>
            <w:r w:rsidR="00B51DC3">
              <w:rPr>
                <w:rFonts w:ascii="Times New Roman" w:hAnsi="Times New Roman"/>
                <w:sz w:val="24"/>
                <w:szCs w:val="24"/>
                <w:lang w:val="sr-Cyrl-CS"/>
              </w:rPr>
              <w:t xml:space="preserve"> </w:t>
            </w:r>
            <w:r>
              <w:rPr>
                <w:rFonts w:ascii="Times New Roman" w:hAnsi="Times New Roman"/>
                <w:sz w:val="24"/>
                <w:szCs w:val="24"/>
              </w:rPr>
              <w:t xml:space="preserve">5. </w:t>
            </w:r>
            <w:r>
              <w:rPr>
                <w:rFonts w:ascii="Times New Roman" w:hAnsi="Times New Roman"/>
                <w:sz w:val="24"/>
                <w:szCs w:val="24"/>
                <w:lang w:val="sr-Cyrl-RS"/>
              </w:rPr>
              <w:t>новембар</w:t>
            </w:r>
            <w:r>
              <w:rPr>
                <w:rFonts w:ascii="Times New Roman" w:hAnsi="Times New Roman"/>
                <w:sz w:val="24"/>
                <w:szCs w:val="24"/>
                <w:lang w:val="sr-Cyrl-CS"/>
              </w:rPr>
              <w:t xml:space="preserve"> 2018. године</w:t>
            </w:r>
          </w:p>
          <w:p w:rsidR="00430D90" w:rsidRDefault="00430D90">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Б е о г р а д</w:t>
            </w:r>
          </w:p>
          <w:p w:rsidR="00430D90" w:rsidRDefault="00430D90">
            <w:pPr>
              <w:tabs>
                <w:tab w:val="left" w:pos="0"/>
                <w:tab w:val="left" w:pos="720"/>
                <w:tab w:val="left" w:pos="1418"/>
                <w:tab w:val="center" w:pos="5670"/>
                <w:tab w:val="center" w:pos="6663"/>
              </w:tabs>
              <w:spacing w:after="0" w:line="240" w:lineRule="auto"/>
              <w:jc w:val="center"/>
              <w:rPr>
                <w:rFonts w:ascii="Times New Roman" w:hAnsi="Times New Roman"/>
                <w:sz w:val="24"/>
                <w:szCs w:val="24"/>
              </w:rPr>
            </w:pPr>
            <w:r>
              <w:rPr>
                <w:rFonts w:ascii="Times New Roman" w:hAnsi="Times New Roman"/>
                <w:sz w:val="24"/>
                <w:szCs w:val="24"/>
                <w:lang w:val="sr-Latn-RS"/>
              </w:rPr>
              <w:t xml:space="preserve"> </w:t>
            </w:r>
            <w:r>
              <w:rPr>
                <w:rFonts w:ascii="Times New Roman" w:hAnsi="Times New Roman"/>
                <w:sz w:val="24"/>
                <w:szCs w:val="24"/>
                <w:lang w:val="sr-Cyrl-CS"/>
              </w:rPr>
              <w:t>Булевар Михајла Пупина 2</w:t>
            </w:r>
          </w:p>
          <w:p w:rsidR="00430D90" w:rsidRDefault="00430D90">
            <w:pPr>
              <w:tabs>
                <w:tab w:val="left" w:pos="0"/>
                <w:tab w:val="left" w:pos="720"/>
                <w:tab w:val="left" w:pos="1418"/>
                <w:tab w:val="center" w:pos="5670"/>
                <w:tab w:val="center" w:pos="6663"/>
              </w:tabs>
              <w:spacing w:after="0" w:line="240" w:lineRule="auto"/>
              <w:jc w:val="center"/>
              <w:rPr>
                <w:rFonts w:ascii="Times New Roman" w:hAnsi="Times New Roman"/>
                <w:color w:val="FF0000"/>
                <w:sz w:val="24"/>
                <w:szCs w:val="24"/>
              </w:rPr>
            </w:pPr>
          </w:p>
        </w:tc>
      </w:tr>
    </w:tbl>
    <w:p w:rsidR="00430D90" w:rsidRDefault="00430D90" w:rsidP="00430D90">
      <w:pPr>
        <w:spacing w:after="0"/>
        <w:jc w:val="center"/>
        <w:rPr>
          <w:rFonts w:ascii="Times New Roman" w:hAnsi="Times New Roman" w:cs="Times New Roman"/>
          <w:sz w:val="24"/>
          <w:szCs w:val="24"/>
          <w:lang w:val="sr-Cyrl-CS"/>
        </w:rPr>
      </w:pPr>
    </w:p>
    <w:p w:rsidR="00430D90" w:rsidRDefault="00430D90" w:rsidP="00430D9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ДОДАТНА ПОЈАШЊЕЊА КОНКУРСНЕ ДОКУМЕНТАЦИЈЕ</w:t>
      </w:r>
    </w:p>
    <w:p w:rsidR="00430D90" w:rsidRDefault="00430D90" w:rsidP="00430D90">
      <w:pPr>
        <w:spacing w:after="0"/>
        <w:jc w:val="center"/>
        <w:rPr>
          <w:rFonts w:ascii="Times New Roman" w:hAnsi="Times New Roman"/>
          <w:sz w:val="24"/>
          <w:szCs w:val="24"/>
          <w:lang w:val="sr-Cyrl-RS"/>
        </w:rPr>
      </w:pPr>
      <w:r>
        <w:rPr>
          <w:rFonts w:ascii="Times New Roman" w:hAnsi="Times New Roman" w:cs="Times New Roman"/>
          <w:sz w:val="24"/>
          <w:szCs w:val="24"/>
          <w:lang w:val="sr-Cyrl-CS"/>
        </w:rPr>
        <w:t xml:space="preserve">јавна набавка број </w:t>
      </w:r>
      <w:r>
        <w:rPr>
          <w:rFonts w:ascii="Times New Roman" w:hAnsi="Times New Roman"/>
          <w:bCs/>
          <w:sz w:val="24"/>
          <w:szCs w:val="24"/>
          <w:lang w:val="uz-Cyrl-UZ"/>
        </w:rPr>
        <w:t>1</w:t>
      </w:r>
      <w:r>
        <w:rPr>
          <w:rFonts w:ascii="Times New Roman" w:hAnsi="Times New Roman"/>
          <w:bCs/>
          <w:sz w:val="24"/>
          <w:szCs w:val="24"/>
        </w:rPr>
        <w:t>.</w:t>
      </w:r>
      <w:r>
        <w:rPr>
          <w:rFonts w:ascii="Times New Roman" w:hAnsi="Times New Roman"/>
          <w:sz w:val="24"/>
          <w:szCs w:val="24"/>
        </w:rPr>
        <w:t>3.</w:t>
      </w:r>
      <w:r>
        <w:rPr>
          <w:rFonts w:ascii="Times New Roman" w:hAnsi="Times New Roman"/>
          <w:sz w:val="24"/>
          <w:szCs w:val="24"/>
          <w:lang w:val="sr-Cyrl-RS"/>
        </w:rPr>
        <w:t>11</w:t>
      </w:r>
      <w:r>
        <w:rPr>
          <w:rFonts w:ascii="Times New Roman" w:hAnsi="Times New Roman"/>
          <w:sz w:val="24"/>
          <w:szCs w:val="24"/>
        </w:rPr>
        <w:t>/2018</w:t>
      </w:r>
      <w:r>
        <w:rPr>
          <w:rFonts w:ascii="Times New Roman" w:hAnsi="Times New Roman"/>
          <w:sz w:val="24"/>
          <w:szCs w:val="24"/>
          <w:lang w:val="sr-Cyrl-RS"/>
        </w:rPr>
        <w:t xml:space="preserve"> радови</w:t>
      </w:r>
    </w:p>
    <w:p w:rsidR="00430D90" w:rsidRDefault="00430D90" w:rsidP="00430D90">
      <w:pPr>
        <w:spacing w:after="0"/>
        <w:jc w:val="center"/>
        <w:rPr>
          <w:rFonts w:ascii="Times New Roman" w:hAnsi="Times New Roman" w:cs="Times New Roman"/>
          <w:sz w:val="24"/>
          <w:szCs w:val="24"/>
          <w:lang w:val="sr-Cyrl-CS"/>
        </w:rPr>
      </w:pPr>
      <w:r>
        <w:rPr>
          <w:rFonts w:ascii="Times New Roman" w:hAnsi="Times New Roman"/>
          <w:sz w:val="24"/>
          <w:szCs w:val="24"/>
          <w:lang w:val="sr-Cyrl-CS"/>
        </w:rPr>
        <w:t>Изградња купалишног комплекса у о</w:t>
      </w:r>
      <w:r>
        <w:rPr>
          <w:rFonts w:ascii="Times New Roman" w:hAnsi="Times New Roman"/>
          <w:bCs/>
          <w:sz w:val="24"/>
          <w:szCs w:val="24"/>
          <w:lang w:val="sr-Cyrl-CS"/>
        </w:rPr>
        <w:t>пштини Житорађа</w:t>
      </w:r>
    </w:p>
    <w:p w:rsidR="00430D90" w:rsidRDefault="00430D90" w:rsidP="00430D90">
      <w:pPr>
        <w:spacing w:after="0"/>
        <w:rPr>
          <w:rFonts w:ascii="Times New Roman" w:hAnsi="Times New Roman" w:cs="Times New Roman"/>
          <w:sz w:val="24"/>
          <w:szCs w:val="24"/>
          <w:lang w:val="sr-Cyrl-CS"/>
        </w:rPr>
      </w:pPr>
    </w:p>
    <w:p w:rsidR="00430D90" w:rsidRDefault="00430D90" w:rsidP="00430D90">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Питање:</w:t>
      </w:r>
    </w:p>
    <w:p w:rsidR="00430D90" w:rsidRDefault="00430D90" w:rsidP="00430D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страни 7 конкурсне документације у делу Финансијски капацитет, поред извештаја о Бонитету, захтевано је да се достави и: доказ о броју дана неликвидности у 2017. </w:t>
      </w:r>
      <w:r w:rsidR="00B51DC3">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је потврда Народне банке Србије о броју неликвидних дана за наведени период. </w:t>
      </w:r>
    </w:p>
    <w:p w:rsidR="00430D90" w:rsidRDefault="00430D90" w:rsidP="00430D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Пошто је евиденција о броју дана неликвидности јавно доступан податак на интернет страници Народне банке Србије да ли се уместо потврде може доставити изјава која садржи интернет странице Народне банке Србије или копију електронског документа у писаном облику који садржи све тражене податке?</w:t>
      </w:r>
    </w:p>
    <w:p w:rsidR="00430D90" w:rsidRDefault="00430D90" w:rsidP="00430D90">
      <w:pPr>
        <w:tabs>
          <w:tab w:val="left" w:pos="144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430D90" w:rsidRDefault="00430D90" w:rsidP="00B51DC3">
      <w:pPr>
        <w:pStyle w:val="ListParagraph"/>
        <w:spacing w:after="0"/>
        <w:ind w:left="-22"/>
        <w:jc w:val="both"/>
        <w:rPr>
          <w:rFonts w:ascii="Times New Roman" w:hAnsi="Times New Roman"/>
          <w:sz w:val="24"/>
          <w:szCs w:val="24"/>
          <w:lang w:val="sr-Cyrl-RS"/>
        </w:rPr>
      </w:pPr>
      <w:r>
        <w:rPr>
          <w:rFonts w:ascii="Times New Roman" w:hAnsi="Times New Roman"/>
          <w:sz w:val="24"/>
          <w:szCs w:val="24"/>
          <w:lang w:val="sr-Cyrl-RS"/>
        </w:rPr>
        <w:t>Конкурсном документацијом је предвиђено да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30D90" w:rsidRDefault="00430D90" w:rsidP="00430D90">
      <w:pPr>
        <w:tabs>
          <w:tab w:val="left" w:pos="9360"/>
        </w:tabs>
        <w:spacing w:after="0" w:line="240" w:lineRule="atLeast"/>
        <w:jc w:val="both"/>
        <w:rPr>
          <w:rFonts w:ascii="Times New Roman" w:hAnsi="Times New Roman" w:cs="Times New Roman"/>
          <w:sz w:val="24"/>
          <w:szCs w:val="24"/>
          <w:lang w:val="sr-Cyrl-RS"/>
        </w:rPr>
      </w:pPr>
    </w:p>
    <w:p w:rsidR="00430D90" w:rsidRDefault="00430D90" w:rsidP="00430D90">
      <w:pPr>
        <w:tabs>
          <w:tab w:val="right" w:pos="9360"/>
        </w:tabs>
        <w:spacing w:after="0"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Питање:</w:t>
      </w:r>
    </w:p>
    <w:p w:rsidR="00B51DC3" w:rsidRDefault="00B51DC3" w:rsidP="00B51DC3">
      <w:pPr>
        <w:spacing w:after="0"/>
        <w:ind w:right="90"/>
        <w:jc w:val="both"/>
        <w:rPr>
          <w:rFonts w:ascii="Times New Roman" w:hAnsi="Times New Roman" w:cs="Times New Roman"/>
          <w:sz w:val="24"/>
          <w:szCs w:val="24"/>
          <w:lang w:val="sr-Cyrl-RS"/>
        </w:rPr>
      </w:pPr>
      <w:r>
        <w:rPr>
          <w:rFonts w:ascii="Times New Roman" w:hAnsi="Times New Roman" w:cs="Times New Roman"/>
          <w:sz w:val="24"/>
          <w:szCs w:val="24"/>
          <w:lang w:val="ru-RU"/>
        </w:rPr>
        <w:t xml:space="preserve">На страни 9 конкурсне документације у делу Остали додатни услови тражено је: потврда Агенције за привредне регистре да нису евидентирани подаци о покренутом поступку стечаја или ликвидације, односно претходном стечајом поступку или потврда Привредног суда да над њим није покренут поступак стечаја или претходни стечајни поступак. Уколико се достави потврда Привредног суда наручилац ће извршити проверу података на интернет страници Регистра Агенције за привредне регистре </w:t>
      </w:r>
      <w:hyperlink r:id="rId6" w:history="1">
        <w:r w:rsidRPr="00B51DC3">
          <w:rPr>
            <w:rStyle w:val="Hyperlink"/>
            <w:rFonts w:ascii="Times New Roman" w:hAnsi="Times New Roman" w:cs="Times New Roman"/>
            <w:color w:val="auto"/>
            <w:sz w:val="24"/>
            <w:szCs w:val="24"/>
          </w:rPr>
          <w:t>www.apr.gov.rs</w:t>
        </w:r>
      </w:hyperlink>
      <w:r w:rsidRPr="00B51DC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 евидентираним поступцима ликвидације за понуђача.</w:t>
      </w:r>
    </w:p>
    <w:p w:rsidR="00B51DC3" w:rsidRDefault="00B51DC3" w:rsidP="00B51DC3">
      <w:pPr>
        <w:spacing w:after="0"/>
        <w:ind w:right="9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Пошто је евиденција о покренутом поступку стечаја, претходног стечајног поступка или ликвидације јавно доступан податак на интернет страници Агенције за привредне </w:t>
      </w:r>
      <w:r>
        <w:rPr>
          <w:rFonts w:ascii="Times New Roman" w:hAnsi="Times New Roman" w:cs="Times New Roman"/>
          <w:sz w:val="24"/>
          <w:szCs w:val="24"/>
          <w:lang w:val="sr-Cyrl-RS"/>
        </w:rPr>
        <w:lastRenderedPageBreak/>
        <w:t>регистре, да ли се уместо потврде АПР-а може доставити изјава која садржи и интернет страницу Агенције за привредне регисте који садржи све тражене податке?</w:t>
      </w:r>
    </w:p>
    <w:p w:rsidR="00B51DC3" w:rsidRDefault="00B51DC3" w:rsidP="00B51DC3">
      <w:pPr>
        <w:spacing w:after="0"/>
        <w:ind w:right="90"/>
        <w:jc w:val="both"/>
        <w:rPr>
          <w:rFonts w:ascii="Times New Roman" w:hAnsi="Times New Roman" w:cs="Times New Roman"/>
          <w:sz w:val="24"/>
          <w:szCs w:val="24"/>
          <w:lang w:val="sr-Cyrl-RS"/>
        </w:rPr>
      </w:pPr>
    </w:p>
    <w:p w:rsidR="00430D90" w:rsidRDefault="00430D90" w:rsidP="00B51DC3">
      <w:pPr>
        <w:spacing w:after="0"/>
        <w:ind w:right="90"/>
        <w:jc w:val="both"/>
        <w:rPr>
          <w:rFonts w:ascii="Times New Roman" w:hAnsi="Times New Roman" w:cs="Times New Roman"/>
          <w:sz w:val="24"/>
          <w:szCs w:val="24"/>
          <w:lang w:val="ru-RU"/>
        </w:rPr>
      </w:pPr>
      <w:r>
        <w:rPr>
          <w:rFonts w:ascii="Times New Roman" w:hAnsi="Times New Roman" w:cs="Times New Roman"/>
          <w:sz w:val="24"/>
          <w:szCs w:val="24"/>
          <w:lang w:val="ru-RU"/>
        </w:rPr>
        <w:t>Одговор:</w:t>
      </w:r>
    </w:p>
    <w:p w:rsidR="00430D90" w:rsidRDefault="00430D90" w:rsidP="00B51DC3">
      <w:pPr>
        <w:pStyle w:val="ListParagraph"/>
        <w:spacing w:after="0"/>
        <w:ind w:left="-22"/>
        <w:jc w:val="both"/>
        <w:rPr>
          <w:rFonts w:ascii="Times New Roman" w:hAnsi="Times New Roman"/>
          <w:sz w:val="24"/>
          <w:szCs w:val="24"/>
          <w:lang w:val="sr-Cyrl-RS"/>
        </w:rPr>
      </w:pPr>
      <w:r>
        <w:rPr>
          <w:rFonts w:ascii="Times New Roman" w:hAnsi="Times New Roman"/>
          <w:sz w:val="24"/>
          <w:szCs w:val="24"/>
          <w:lang w:val="sr-Cyrl-RS"/>
        </w:rPr>
        <w:t>Конкурсном документацијом је предвиђено да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30D90" w:rsidRDefault="00430D90" w:rsidP="00B51DC3">
      <w:pPr>
        <w:pStyle w:val="ListParagraph"/>
        <w:spacing w:after="0"/>
        <w:ind w:left="-22"/>
        <w:jc w:val="both"/>
        <w:rPr>
          <w:rFonts w:ascii="Times New Roman" w:hAnsi="Times New Roman"/>
          <w:sz w:val="24"/>
          <w:szCs w:val="24"/>
          <w:lang w:val="sr-Cyrl-RS"/>
        </w:rPr>
      </w:pPr>
    </w:p>
    <w:p w:rsidR="00B51DC3" w:rsidRPr="00B51DC3" w:rsidRDefault="00B51DC3" w:rsidP="00B51DC3">
      <w:pPr>
        <w:rPr>
          <w:rFonts w:ascii="Times New Roman" w:hAnsi="Times New Roman" w:cs="Times New Roman"/>
          <w:sz w:val="24"/>
          <w:szCs w:val="24"/>
          <w:lang w:val="sr-Cyrl-RS"/>
        </w:rPr>
      </w:pPr>
    </w:p>
    <w:p w:rsidR="00B51DC3" w:rsidRPr="00B51DC3" w:rsidRDefault="00B51DC3" w:rsidP="00B51DC3">
      <w:pPr>
        <w:jc w:val="right"/>
        <w:rPr>
          <w:rFonts w:ascii="Times New Roman" w:hAnsi="Times New Roman" w:cs="Times New Roman"/>
          <w:sz w:val="24"/>
          <w:szCs w:val="24"/>
          <w:lang w:val="sr-Cyrl-RS"/>
        </w:rPr>
      </w:pPr>
      <w:r w:rsidRPr="00B51DC3">
        <w:rPr>
          <w:rFonts w:ascii="Times New Roman" w:hAnsi="Times New Roman" w:cs="Times New Roman"/>
          <w:sz w:val="24"/>
          <w:szCs w:val="24"/>
          <w:lang w:val="sr-Cyrl-RS"/>
        </w:rPr>
        <w:t>Комисија за јавне набавке</w:t>
      </w:r>
    </w:p>
    <w:sectPr w:rsidR="00B51DC3" w:rsidRPr="00B51DC3" w:rsidSect="00430D90">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8A"/>
    <w:rsid w:val="00430D90"/>
    <w:rsid w:val="005071C3"/>
    <w:rsid w:val="00B51DC3"/>
    <w:rsid w:val="00CC508A"/>
    <w:rsid w:val="00EB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90"/>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51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90"/>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51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r.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Zaklina</dc:creator>
  <cp:lastModifiedBy>Hewlett-Packard Company</cp:lastModifiedBy>
  <cp:revision>2</cp:revision>
  <dcterms:created xsi:type="dcterms:W3CDTF">2018-11-05T10:17:00Z</dcterms:created>
  <dcterms:modified xsi:type="dcterms:W3CDTF">2018-11-05T10:17:00Z</dcterms:modified>
</cp:coreProperties>
</file>